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  <w:bookmarkStart w:id="0" w:name="_GoBack"/>
      <w:bookmarkEnd w:id="0"/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Spis treści 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Ludzie i opinie </w:t>
      </w:r>
    </w:p>
    <w:p w:rsidR="00740E44" w:rsidRPr="00740E44" w:rsidRDefault="00740E44" w:rsidP="00740E44">
      <w:pPr>
        <w:pStyle w:val="Pa8"/>
        <w:spacing w:before="2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Wspomnienie o Prezesie Henryku Błażusiaku 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Wydarzenia branżowe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15-lecie Pomorskiego Forum Wodociągowego </w:t>
      </w: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Jubileusz 20-lecia Miejskiego Zakładu Wodociągów i Kanalizacji w Sulejówku </w:t>
      </w: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XXVI Spartakiada Pracowników Wodociągów i Kanalizacji zakończona sukcesem </w:t>
      </w: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Gdańsk promotorem systemów hydrofitowych </w:t>
      </w: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Seminarium naukowo-techniczne: Zastosowanie innowacyjnych technik membranowych w oczyszczaniu ścieków i procesach uzdatniania wody do wtórnego wykorzystania </w:t>
      </w:r>
      <w:r>
        <w:rPr>
          <w:rFonts w:asciiTheme="minorHAnsi" w:hAnsiTheme="minorHAnsi" w:cs="Humnst777EU"/>
          <w:sz w:val="22"/>
          <w:szCs w:val="22"/>
        </w:rPr>
        <w:t>-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Jolanta Gryszkiewicz, Paweł Jasiński</w:t>
      </w:r>
    </w:p>
    <w:p w:rsidR="00740E44" w:rsidRPr="00740E44" w:rsidRDefault="00740E44" w:rsidP="00740E44">
      <w:pPr>
        <w:pStyle w:val="Pa8"/>
        <w:numPr>
          <w:ilvl w:val="0"/>
          <w:numId w:val="1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XX-Lecie Zambrowskiego Ciepłownictwa i Wodociągów 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ABC technologa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Usuwanie azotu </w:t>
      </w:r>
      <w:r>
        <w:rPr>
          <w:rFonts w:asciiTheme="minorHAnsi" w:hAnsiTheme="minorHAnsi" w:cs="Humnst777EU"/>
          <w:sz w:val="22"/>
          <w:szCs w:val="22"/>
        </w:rPr>
        <w:t>-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Tatiana Kita, Maciej Kita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Oczyszczanie ścieków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Efektywność działania komunalnej oczyszczalni ścieków w Sierpcu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Karolina Wójcicka, Zbigniew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Heidrich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>, Waldemar Lis</w:t>
      </w:r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Rozwiązania procesowe Alfa </w:t>
      </w:r>
      <w:proofErr w:type="spellStart"/>
      <w:r w:rsidRPr="00740E44">
        <w:rPr>
          <w:rFonts w:asciiTheme="minorHAnsi" w:hAnsiTheme="minorHAnsi" w:cs="Humnst777EU"/>
          <w:sz w:val="22"/>
          <w:szCs w:val="22"/>
        </w:rPr>
        <w:t>Laval</w:t>
      </w:r>
      <w:proofErr w:type="spellEnd"/>
      <w:r w:rsidRPr="00740E44">
        <w:rPr>
          <w:rFonts w:asciiTheme="minorHAnsi" w:hAnsiTheme="minorHAnsi" w:cs="Humnst777EU"/>
          <w:sz w:val="22"/>
          <w:szCs w:val="22"/>
        </w:rPr>
        <w:t xml:space="preserve"> dla komunalnych oczyszczalni ścieków </w:t>
      </w:r>
      <w:r>
        <w:rPr>
          <w:rFonts w:asciiTheme="minorHAnsi" w:hAnsiTheme="minorHAnsi" w:cs="Humnst777EU"/>
          <w:sz w:val="22"/>
          <w:szCs w:val="22"/>
        </w:rPr>
        <w:t>-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Jacek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Pyskło</w:t>
      </w:r>
      <w:proofErr w:type="spellEnd"/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Reaktory beztlenowe w oczyszczaniu ścieków </w:t>
      </w:r>
      <w:r>
        <w:rPr>
          <w:rFonts w:asciiTheme="minorHAnsi" w:hAnsiTheme="minorHAnsi" w:cs="Humnst777EU"/>
          <w:sz w:val="22"/>
          <w:szCs w:val="22"/>
        </w:rPr>
        <w:t>-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Ireneusz Plichta</w:t>
      </w:r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Wpływ dodatku PIX na parametry odwadniania osadu przefermentowanego na wirówkach w Oczyszczalni Ścieków w Rawie Mazowieckiej </w:t>
      </w:r>
      <w:r>
        <w:rPr>
          <w:rFonts w:asciiTheme="minorHAnsi" w:hAnsiTheme="minorHAnsi" w:cs="Humnst777EU"/>
          <w:sz w:val="22"/>
          <w:szCs w:val="22"/>
        </w:rPr>
        <w:t>-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Wiesława Kabzińska-Piątkowska, Przemysław Pawlak</w:t>
      </w:r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Dyfuzory polietylenowe – charakterystyka i eksploatacja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Karolina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Jarmołowska</w:t>
      </w:r>
      <w:proofErr w:type="spellEnd"/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>Korzystna pod względem nie tylko finansowym eliminacja azotu na oczyszczalniach komunalnych – proces BIOMOX</w:t>
      </w:r>
      <w:r w:rsidRPr="00740E44">
        <w:rPr>
          <w:rFonts w:asciiTheme="minorHAnsi" w:hAnsiTheme="minorHAnsi" w:cs="Humnst777EU"/>
          <w:position w:val="6"/>
          <w:sz w:val="22"/>
          <w:szCs w:val="22"/>
          <w:vertAlign w:val="superscript"/>
        </w:rPr>
        <w:t xml:space="preserve">® </w:t>
      </w:r>
      <w:r w:rsidRPr="00740E44">
        <w:rPr>
          <w:rFonts w:asciiTheme="minorHAnsi" w:hAnsiTheme="minorHAnsi" w:cs="Humnst777EU"/>
          <w:sz w:val="22"/>
          <w:szCs w:val="22"/>
        </w:rPr>
        <w:t xml:space="preserve">dla odwodnionych osadów ściekowych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Torben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Blume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, Hubert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Wienands</w:t>
      </w:r>
      <w:proofErr w:type="spellEnd"/>
    </w:p>
    <w:p w:rsidR="00740E44" w:rsidRPr="00740E44" w:rsidRDefault="00740E44" w:rsidP="00740E44">
      <w:pPr>
        <w:pStyle w:val="Pa8"/>
        <w:numPr>
          <w:ilvl w:val="0"/>
          <w:numId w:val="2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Analizatory </w:t>
      </w:r>
      <w:proofErr w:type="spellStart"/>
      <w:r w:rsidRPr="00740E44">
        <w:rPr>
          <w:rFonts w:asciiTheme="minorHAnsi" w:hAnsiTheme="minorHAnsi" w:cs="Humnst777EU"/>
          <w:sz w:val="22"/>
          <w:szCs w:val="22"/>
        </w:rPr>
        <w:t>Liquiline</w:t>
      </w:r>
      <w:proofErr w:type="spellEnd"/>
      <w:r w:rsidRPr="00740E44">
        <w:rPr>
          <w:rFonts w:asciiTheme="minorHAnsi" w:hAnsiTheme="minorHAnsi" w:cs="Humnst777EU"/>
          <w:sz w:val="22"/>
          <w:szCs w:val="22"/>
        </w:rPr>
        <w:t xml:space="preserve"> System CA80 oraz doskonałe systemy filtracji dla wiarygodnych wartości pomiarowych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Bartłomiej Biczysko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Gospodarka osadowa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3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Charakterystyka komunalnych osadów ściekowych w aspekcie ich wykorzystania nawozowego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Adam Masłoń, Joanna Czarnota</w:t>
      </w:r>
    </w:p>
    <w:p w:rsidR="00740E44" w:rsidRPr="00740E44" w:rsidRDefault="00740E44" w:rsidP="00740E44">
      <w:pPr>
        <w:pStyle w:val="Pa8"/>
        <w:numPr>
          <w:ilvl w:val="0"/>
          <w:numId w:val="3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Projekt BAT 2016 a kompostowanie pod membranami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Agnieszka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Spodzieja</w:t>
      </w:r>
      <w:proofErr w:type="spellEnd"/>
    </w:p>
    <w:p w:rsidR="00740E44" w:rsidRPr="00740E44" w:rsidRDefault="00740E44" w:rsidP="00740E44">
      <w:pPr>
        <w:pStyle w:val="Pa8"/>
        <w:numPr>
          <w:ilvl w:val="0"/>
          <w:numId w:val="3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Osad – odpad czy produkt?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>Roman Sobczyk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Pompy i pompownie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4"/>
        </w:numPr>
        <w:spacing w:before="20"/>
        <w:ind w:left="36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Pełna obsługa w miejscu instalacji. Specjalna konstrukcja pompy umożliwia pełną obsługę w miejscu instalacji przy minimalnym nakładzie czasowym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Netzsch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Pumpen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&amp;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Systeme</w:t>
      </w:r>
      <w:proofErr w:type="spellEnd"/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 GmbH</w:t>
      </w: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7"/>
        <w:spacing w:before="100" w:after="4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Prawo i eksploatacja </w:t>
      </w:r>
    </w:p>
    <w:p w:rsidR="00740E44" w:rsidRPr="00740E44" w:rsidRDefault="00740E44" w:rsidP="00740E44">
      <w:pPr>
        <w:pStyle w:val="Pa8"/>
        <w:spacing w:before="20"/>
        <w:ind w:left="380" w:hanging="380"/>
        <w:rPr>
          <w:rFonts w:asciiTheme="minorHAnsi" w:hAnsiTheme="minorHAnsi" w:cs="Humnst777EU"/>
          <w:b/>
          <w:bCs/>
          <w:sz w:val="22"/>
          <w:szCs w:val="22"/>
        </w:rPr>
      </w:pPr>
    </w:p>
    <w:p w:rsidR="00740E44" w:rsidRPr="00740E44" w:rsidRDefault="00740E44" w:rsidP="00740E44">
      <w:pPr>
        <w:pStyle w:val="Pa8"/>
        <w:numPr>
          <w:ilvl w:val="0"/>
          <w:numId w:val="4"/>
        </w:numPr>
        <w:spacing w:before="20"/>
        <w:rPr>
          <w:rFonts w:asciiTheme="minorHAnsi" w:hAnsiTheme="minorHAnsi" w:cs="Humnst777EU"/>
          <w:sz w:val="22"/>
          <w:szCs w:val="22"/>
        </w:rPr>
      </w:pPr>
      <w:r w:rsidRPr="00740E44">
        <w:rPr>
          <w:rFonts w:asciiTheme="minorHAnsi" w:hAnsiTheme="minorHAnsi" w:cs="Humnst777EU"/>
          <w:sz w:val="22"/>
          <w:szCs w:val="22"/>
        </w:rPr>
        <w:t xml:space="preserve">Prawo a eksploatacja </w:t>
      </w:r>
      <w:r>
        <w:rPr>
          <w:rFonts w:asciiTheme="minorHAnsi" w:hAnsiTheme="minorHAnsi" w:cs="Humnst777EU"/>
          <w:sz w:val="22"/>
          <w:szCs w:val="22"/>
        </w:rPr>
        <w:t xml:space="preserve">- </w:t>
      </w:r>
      <w:r w:rsidRPr="00740E44">
        <w:rPr>
          <w:rFonts w:asciiTheme="minorHAnsi" w:hAnsiTheme="minorHAnsi" w:cs="Humnst777EU"/>
          <w:b/>
          <w:bCs/>
          <w:sz w:val="22"/>
          <w:szCs w:val="22"/>
        </w:rPr>
        <w:t xml:space="preserve">Irena </w:t>
      </w:r>
      <w:proofErr w:type="spellStart"/>
      <w:r w:rsidRPr="00740E44">
        <w:rPr>
          <w:rFonts w:asciiTheme="minorHAnsi" w:hAnsiTheme="minorHAnsi" w:cs="Humnst777EU"/>
          <w:b/>
          <w:bCs/>
          <w:sz w:val="22"/>
          <w:szCs w:val="22"/>
        </w:rPr>
        <w:t>Iwanisik</w:t>
      </w:r>
      <w:proofErr w:type="spellEnd"/>
    </w:p>
    <w:p w:rsidR="00787181" w:rsidRPr="00740E44" w:rsidRDefault="00740E44" w:rsidP="00740E44">
      <w:pPr>
        <w:pStyle w:val="Akapitzlist"/>
        <w:numPr>
          <w:ilvl w:val="0"/>
          <w:numId w:val="4"/>
        </w:numPr>
      </w:pPr>
      <w:r w:rsidRPr="00740E44">
        <w:rPr>
          <w:rFonts w:cs="Humnst777EU"/>
        </w:rPr>
        <w:t>Wygaśnięcie, ograniczenie, cofnięcie pozwolenia emisyjnego</w:t>
      </w:r>
      <w:r>
        <w:rPr>
          <w:rFonts w:cs="Humnst777EU"/>
        </w:rPr>
        <w:t xml:space="preserve"> - </w:t>
      </w:r>
      <w:r w:rsidRPr="00740E44">
        <w:rPr>
          <w:rFonts w:cs="Humnst777EU"/>
          <w:b/>
          <w:bCs/>
        </w:rPr>
        <w:t>Łukasz Kozłowski</w:t>
      </w:r>
    </w:p>
    <w:sectPr w:rsidR="00787181" w:rsidRPr="0074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771"/>
    <w:multiLevelType w:val="hybridMultilevel"/>
    <w:tmpl w:val="68BC8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E0981"/>
    <w:multiLevelType w:val="hybridMultilevel"/>
    <w:tmpl w:val="1EC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E7C58"/>
    <w:multiLevelType w:val="hybridMultilevel"/>
    <w:tmpl w:val="9894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523FC1"/>
    <w:multiLevelType w:val="hybridMultilevel"/>
    <w:tmpl w:val="5FDAA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44"/>
    <w:rsid w:val="00740E44"/>
    <w:rsid w:val="00787181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56AF"/>
  <w15:chartTrackingRefBased/>
  <w15:docId w15:val="{CF9B25CF-D5CF-467F-91F5-224E399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7">
    <w:name w:val="Pa7"/>
    <w:basedOn w:val="Normalny"/>
    <w:next w:val="Normalny"/>
    <w:uiPriority w:val="99"/>
    <w:rsid w:val="00740E44"/>
    <w:pPr>
      <w:autoSpaceDE w:val="0"/>
      <w:autoSpaceDN w:val="0"/>
      <w:adjustRightInd w:val="0"/>
      <w:spacing w:after="0" w:line="201" w:lineRule="atLeast"/>
    </w:pPr>
    <w:rPr>
      <w:rFonts w:ascii="Humnst777EU" w:hAnsi="Humnst777EU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740E44"/>
    <w:pPr>
      <w:autoSpaceDE w:val="0"/>
      <w:autoSpaceDN w:val="0"/>
      <w:adjustRightInd w:val="0"/>
      <w:spacing w:after="0" w:line="181" w:lineRule="atLeast"/>
    </w:pPr>
    <w:rPr>
      <w:rFonts w:ascii="Humnst777EU" w:hAnsi="Humnst777EU"/>
      <w:sz w:val="24"/>
      <w:szCs w:val="24"/>
    </w:rPr>
  </w:style>
  <w:style w:type="paragraph" w:styleId="Akapitzlist">
    <w:name w:val="List Paragraph"/>
    <w:basedOn w:val="Normalny"/>
    <w:uiPriority w:val="34"/>
    <w:qFormat/>
    <w:rsid w:val="0074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2016-10-18T13:20:00Z</dcterms:created>
  <dcterms:modified xsi:type="dcterms:W3CDTF">2016-10-18T13:32:00Z</dcterms:modified>
</cp:coreProperties>
</file>