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1A83" w14:textId="12C5C15F" w:rsidR="005E1A88" w:rsidRPr="005E1A88" w:rsidRDefault="005E1A88" w:rsidP="00632A85">
      <w:pPr>
        <w:jc w:val="both"/>
      </w:pPr>
      <w:r w:rsidRPr="005E1A88">
        <w:t>Spis treści:</w:t>
      </w:r>
    </w:p>
    <w:p w14:paraId="7B8D6AF9" w14:textId="4DBAD703" w:rsidR="005E1A88" w:rsidRPr="005E1A88" w:rsidRDefault="005E1A88" w:rsidP="00632A85">
      <w:pPr>
        <w:jc w:val="both"/>
      </w:pPr>
      <w:r>
        <w:t>Zaopatrzenie w wodę</w:t>
      </w:r>
    </w:p>
    <w:p w14:paraId="036B3DA9" w14:textId="77777777" w:rsidR="005E1A88" w:rsidRPr="005E1A88" w:rsidRDefault="005E1A88" w:rsidP="00632A85">
      <w:pPr>
        <w:pStyle w:val="Akapitzlist"/>
        <w:numPr>
          <w:ilvl w:val="0"/>
          <w:numId w:val="1"/>
        </w:numPr>
        <w:jc w:val="both"/>
      </w:pPr>
      <w:r w:rsidRPr="005E1A88">
        <w:t>Jakość wody w płytkich studniach kopanych –</w:t>
      </w:r>
      <w:r w:rsidRPr="005E1A88">
        <w:t xml:space="preserve"> </w:t>
      </w:r>
      <w:r w:rsidRPr="005E1A88">
        <w:t>problem lokalny i globalny</w:t>
      </w:r>
      <w:r w:rsidRPr="005E1A88">
        <w:t xml:space="preserve"> - </w:t>
      </w:r>
      <w:r w:rsidRPr="005E1A88">
        <w:t xml:space="preserve">Marianna </w:t>
      </w:r>
      <w:proofErr w:type="spellStart"/>
      <w:r w:rsidRPr="005E1A88">
        <w:t>Ciślak</w:t>
      </w:r>
      <w:proofErr w:type="spellEnd"/>
      <w:r w:rsidRPr="005E1A88">
        <w:t xml:space="preserve">, Michał </w:t>
      </w:r>
      <w:proofErr w:type="spellStart"/>
      <w:r w:rsidRPr="005E1A88">
        <w:t>Michałkiewicz</w:t>
      </w:r>
      <w:proofErr w:type="spellEnd"/>
    </w:p>
    <w:p w14:paraId="09C998AC" w14:textId="77777777" w:rsidR="005E1A88" w:rsidRPr="005E1A88" w:rsidRDefault="005E1A88" w:rsidP="00632A85">
      <w:pPr>
        <w:pStyle w:val="Akapitzlist"/>
        <w:numPr>
          <w:ilvl w:val="0"/>
          <w:numId w:val="1"/>
        </w:numPr>
        <w:jc w:val="both"/>
      </w:pPr>
      <w:r w:rsidRPr="005E1A88">
        <w:t xml:space="preserve">Metody </w:t>
      </w:r>
      <w:proofErr w:type="spellStart"/>
      <w:r w:rsidRPr="005E1A88">
        <w:t>bezwykopowe</w:t>
      </w:r>
      <w:proofErr w:type="spellEnd"/>
      <w:r w:rsidRPr="005E1A88">
        <w:t xml:space="preserve"> – praktyczna</w:t>
      </w:r>
      <w:r w:rsidRPr="005E1A88">
        <w:t xml:space="preserve"> </w:t>
      </w:r>
      <w:r w:rsidRPr="005E1A88">
        <w:t>konieczność</w:t>
      </w:r>
      <w:r w:rsidRPr="005E1A88">
        <w:t xml:space="preserve"> - </w:t>
      </w:r>
      <w:r w:rsidRPr="005E1A88">
        <w:t xml:space="preserve">Joanna </w:t>
      </w:r>
      <w:proofErr w:type="spellStart"/>
      <w:r w:rsidRPr="005E1A88">
        <w:t>Sepełowska</w:t>
      </w:r>
      <w:proofErr w:type="spellEnd"/>
      <w:r w:rsidRPr="005E1A88">
        <w:t>, Izabela Kruszelnicka,</w:t>
      </w:r>
      <w:r w:rsidRPr="005E1A88">
        <w:t xml:space="preserve"> </w:t>
      </w:r>
      <w:r w:rsidRPr="005E1A88">
        <w:t xml:space="preserve">Dobrochna </w:t>
      </w:r>
      <w:proofErr w:type="spellStart"/>
      <w:r w:rsidRPr="005E1A88">
        <w:t>Ginter-Kramarczyk</w:t>
      </w:r>
      <w:proofErr w:type="spellEnd"/>
    </w:p>
    <w:p w14:paraId="022AA0E0" w14:textId="36C8FA79" w:rsidR="005E1A88" w:rsidRPr="005E1A88" w:rsidRDefault="005E1A88" w:rsidP="00632A85">
      <w:pPr>
        <w:pStyle w:val="Akapitzlist"/>
        <w:numPr>
          <w:ilvl w:val="0"/>
          <w:numId w:val="1"/>
        </w:numPr>
        <w:jc w:val="both"/>
      </w:pPr>
      <w:r w:rsidRPr="005E1A88">
        <w:t>Efekty kondycjonowania wody</w:t>
      </w:r>
      <w:r w:rsidRPr="005E1A88">
        <w:t xml:space="preserve"> </w:t>
      </w:r>
      <w:r w:rsidRPr="005E1A88">
        <w:t xml:space="preserve">preparatem </w:t>
      </w:r>
      <w:proofErr w:type="spellStart"/>
      <w:r w:rsidRPr="005E1A88">
        <w:t>SeaQuest</w:t>
      </w:r>
      <w:proofErr w:type="spellEnd"/>
      <w:r w:rsidRPr="005E1A88">
        <w:t xml:space="preserve"> na przykładzie</w:t>
      </w:r>
      <w:r w:rsidRPr="005E1A88">
        <w:t xml:space="preserve"> </w:t>
      </w:r>
      <w:r w:rsidRPr="005E1A88">
        <w:t>wybranych przedsiębiorstw</w:t>
      </w:r>
      <w:r w:rsidRPr="005E1A88">
        <w:t xml:space="preserve"> </w:t>
      </w:r>
      <w:proofErr w:type="spellStart"/>
      <w:r w:rsidRPr="005E1A88">
        <w:t>wod-kan</w:t>
      </w:r>
      <w:proofErr w:type="spellEnd"/>
      <w:r w:rsidRPr="005E1A88">
        <w:t xml:space="preserve"> w Gilowicach (woj. śląskie)</w:t>
      </w:r>
      <w:r w:rsidRPr="005E1A88">
        <w:t xml:space="preserve"> </w:t>
      </w:r>
      <w:r w:rsidRPr="005E1A88">
        <w:t>i Łobzie (woj. zachodniopomorskie)</w:t>
      </w:r>
      <w:r w:rsidRPr="005E1A88">
        <w:t xml:space="preserve"> </w:t>
      </w:r>
      <w:r w:rsidRPr="005E1A88">
        <w:t xml:space="preserve">Anna </w:t>
      </w:r>
      <w:proofErr w:type="spellStart"/>
      <w:r w:rsidRPr="005E1A88">
        <w:t>Imperowicz</w:t>
      </w:r>
      <w:proofErr w:type="spellEnd"/>
      <w:r w:rsidRPr="005E1A88">
        <w:t xml:space="preserve">-Pawlaczyk, Ewelina </w:t>
      </w:r>
      <w:proofErr w:type="spellStart"/>
      <w:r w:rsidRPr="005E1A88">
        <w:t>Luranc</w:t>
      </w:r>
      <w:proofErr w:type="spellEnd"/>
    </w:p>
    <w:p w14:paraId="386A6141" w14:textId="77777777" w:rsidR="005E1A88" w:rsidRPr="005E1A88" w:rsidRDefault="005E1A88" w:rsidP="00632A85">
      <w:pPr>
        <w:jc w:val="both"/>
      </w:pPr>
      <w:r w:rsidRPr="005E1A88">
        <w:t>Bezpieczeństwo zdrowotne wody</w:t>
      </w:r>
    </w:p>
    <w:p w14:paraId="51A99228" w14:textId="77777777" w:rsidR="005E1A88" w:rsidRDefault="005E1A88" w:rsidP="00632A85">
      <w:pPr>
        <w:pStyle w:val="Akapitzlist"/>
        <w:numPr>
          <w:ilvl w:val="0"/>
          <w:numId w:val="2"/>
        </w:numPr>
        <w:jc w:val="both"/>
      </w:pPr>
      <w:r w:rsidRPr="005E1A88">
        <w:t>Procedury operacyjne jako element</w:t>
      </w:r>
      <w:r>
        <w:t xml:space="preserve"> </w:t>
      </w:r>
      <w:r w:rsidRPr="005E1A88">
        <w:t>wykonawczy Planów Bezpieczeństwa</w:t>
      </w:r>
      <w:r>
        <w:t xml:space="preserve"> </w:t>
      </w:r>
      <w:r w:rsidRPr="005E1A88">
        <w:t>Wody na przykładzie przekroczeń żelaza.</w:t>
      </w:r>
      <w:r>
        <w:t xml:space="preserve"> </w:t>
      </w:r>
      <w:r w:rsidRPr="005E1A88">
        <w:t>Analiza wybranych przypadków</w:t>
      </w:r>
      <w:r>
        <w:t xml:space="preserve"> - </w:t>
      </w:r>
      <w:r w:rsidRPr="005E1A88">
        <w:t xml:space="preserve">Iwona </w:t>
      </w:r>
      <w:proofErr w:type="spellStart"/>
      <w:r w:rsidRPr="005E1A88">
        <w:t>Gomuła</w:t>
      </w:r>
      <w:proofErr w:type="spellEnd"/>
      <w:r w:rsidRPr="005E1A88">
        <w:rPr>
          <w:rFonts w:ascii="Cambria Math" w:hAnsi="Cambria Math" w:cs="Cambria Math"/>
        </w:rPr>
        <w:t>‑</w:t>
      </w:r>
      <w:r w:rsidRPr="005E1A88">
        <w:t xml:space="preserve">Lasocka, </w:t>
      </w:r>
      <w:r w:rsidRPr="005E1A88">
        <w:rPr>
          <w:rFonts w:ascii="Calibri" w:hAnsi="Calibri" w:cs="Calibri"/>
        </w:rPr>
        <w:t>Ł</w:t>
      </w:r>
      <w:r w:rsidRPr="005E1A88">
        <w:t>ukasz Weber</w:t>
      </w:r>
    </w:p>
    <w:p w14:paraId="04D21378" w14:textId="3D48537B" w:rsidR="005E1A88" w:rsidRPr="005E1A88" w:rsidRDefault="005E1A88" w:rsidP="00632A85">
      <w:pPr>
        <w:pStyle w:val="Akapitzlist"/>
        <w:numPr>
          <w:ilvl w:val="0"/>
          <w:numId w:val="2"/>
        </w:numPr>
        <w:jc w:val="both"/>
      </w:pPr>
      <w:r w:rsidRPr="005E1A88">
        <w:t>Azotany w wodzie przeznaczonej do spożycia</w:t>
      </w:r>
      <w:r>
        <w:t xml:space="preserve"> </w:t>
      </w:r>
      <w:r w:rsidRPr="005E1A88">
        <w:t>a zagrożenie dla zdrowia – współczesne poglądy</w:t>
      </w:r>
      <w:r>
        <w:t xml:space="preserve"> </w:t>
      </w:r>
      <w:r w:rsidRPr="005E1A88">
        <w:t>(aktualny stan wiedzy)</w:t>
      </w:r>
      <w:r>
        <w:t xml:space="preserve"> </w:t>
      </w:r>
      <w:r w:rsidRPr="005E1A88">
        <w:t xml:space="preserve">Małgorzata </w:t>
      </w:r>
      <w:proofErr w:type="spellStart"/>
      <w:r w:rsidRPr="005E1A88">
        <w:t>Jamsheer</w:t>
      </w:r>
      <w:proofErr w:type="spellEnd"/>
      <w:r w:rsidRPr="005E1A88">
        <w:t>-Bratkowska,</w:t>
      </w:r>
      <w:r>
        <w:t xml:space="preserve"> </w:t>
      </w:r>
      <w:r w:rsidRPr="005E1A88">
        <w:t xml:space="preserve">Agnieszka Stankiewicz, Dorota </w:t>
      </w:r>
      <w:proofErr w:type="spellStart"/>
      <w:r w:rsidRPr="005E1A88">
        <w:t>Maziarka</w:t>
      </w:r>
      <w:proofErr w:type="spellEnd"/>
    </w:p>
    <w:p w14:paraId="0A41A09A" w14:textId="77777777" w:rsidR="005E1A88" w:rsidRPr="005E1A88" w:rsidRDefault="005E1A88" w:rsidP="00632A85">
      <w:pPr>
        <w:jc w:val="both"/>
      </w:pPr>
      <w:r w:rsidRPr="005E1A88">
        <w:t>Oczyszczanie ścieków</w:t>
      </w:r>
    </w:p>
    <w:p w14:paraId="5F97ACF2" w14:textId="77777777" w:rsidR="005E1A88" w:rsidRDefault="005E1A88" w:rsidP="00632A85">
      <w:pPr>
        <w:pStyle w:val="Akapitzlist"/>
        <w:numPr>
          <w:ilvl w:val="0"/>
          <w:numId w:val="3"/>
        </w:numPr>
        <w:jc w:val="both"/>
      </w:pPr>
      <w:r w:rsidRPr="005E1A88">
        <w:t>Nowoczesne technologie informatyczne</w:t>
      </w:r>
      <w:r>
        <w:t xml:space="preserve"> </w:t>
      </w:r>
      <w:r w:rsidRPr="005E1A88">
        <w:t>w oczyszczalni ścieków</w:t>
      </w:r>
      <w:r>
        <w:t xml:space="preserve"> </w:t>
      </w:r>
      <w:r w:rsidRPr="005E1A88">
        <w:t xml:space="preserve">Marcel </w:t>
      </w:r>
      <w:proofErr w:type="spellStart"/>
      <w:r w:rsidRPr="005E1A88">
        <w:t>Garczyk</w:t>
      </w:r>
      <w:proofErr w:type="spellEnd"/>
      <w:r w:rsidRPr="005E1A88">
        <w:t>, Izabela Kruszelnicka,</w:t>
      </w:r>
      <w:r>
        <w:t xml:space="preserve"> </w:t>
      </w:r>
      <w:r w:rsidRPr="005E1A88">
        <w:t xml:space="preserve">Dobrochna </w:t>
      </w:r>
      <w:proofErr w:type="spellStart"/>
      <w:r w:rsidRPr="005E1A88">
        <w:t>Ginter-Kramarczyk</w:t>
      </w:r>
      <w:proofErr w:type="spellEnd"/>
    </w:p>
    <w:p w14:paraId="149854A4" w14:textId="06E36321" w:rsidR="005E1A88" w:rsidRPr="005E1A88" w:rsidRDefault="005E1A88" w:rsidP="00632A85">
      <w:pPr>
        <w:pStyle w:val="Akapitzlist"/>
        <w:numPr>
          <w:ilvl w:val="0"/>
          <w:numId w:val="3"/>
        </w:numPr>
        <w:jc w:val="both"/>
      </w:pPr>
      <w:proofErr w:type="spellStart"/>
      <w:r w:rsidRPr="005E1A88">
        <w:t>Proline</w:t>
      </w:r>
      <w:proofErr w:type="spellEnd"/>
      <w:r w:rsidRPr="005E1A88">
        <w:t xml:space="preserve"> </w:t>
      </w:r>
      <w:proofErr w:type="spellStart"/>
      <w:r w:rsidRPr="005E1A88">
        <w:t>Promag</w:t>
      </w:r>
      <w:proofErr w:type="spellEnd"/>
      <w:r w:rsidRPr="005E1A88">
        <w:t xml:space="preserve"> W 800: zasilany bateryjnie</w:t>
      </w:r>
      <w:r>
        <w:t xml:space="preserve"> </w:t>
      </w:r>
      <w:r w:rsidRPr="005E1A88">
        <w:t>przepływomierz elektromagnetyczny</w:t>
      </w:r>
      <w:r>
        <w:t xml:space="preserve"> </w:t>
      </w:r>
      <w:r w:rsidRPr="005E1A88">
        <w:t>z dostępem do chmury</w:t>
      </w:r>
    </w:p>
    <w:p w14:paraId="32F3C489" w14:textId="77777777" w:rsidR="005E1A88" w:rsidRPr="005E1A88" w:rsidRDefault="005E1A88" w:rsidP="00632A85">
      <w:pPr>
        <w:jc w:val="both"/>
      </w:pPr>
      <w:r w:rsidRPr="005E1A88">
        <w:t>Zagadnienia prawne i ekonomiczne</w:t>
      </w:r>
    </w:p>
    <w:p w14:paraId="7F6B0E4A" w14:textId="77777777" w:rsidR="005E1A88" w:rsidRDefault="005E1A88" w:rsidP="00632A85">
      <w:pPr>
        <w:pStyle w:val="Akapitzlist"/>
        <w:numPr>
          <w:ilvl w:val="0"/>
          <w:numId w:val="4"/>
        </w:numPr>
        <w:jc w:val="both"/>
      </w:pPr>
      <w:r w:rsidRPr="005E1A88">
        <w:t>Ekonomiczne aspekty renowacji i remontów</w:t>
      </w:r>
      <w:r>
        <w:t xml:space="preserve"> </w:t>
      </w:r>
      <w:r w:rsidRPr="005E1A88">
        <w:t>studni wodociągowych</w:t>
      </w:r>
      <w:r>
        <w:t xml:space="preserve"> - </w:t>
      </w:r>
      <w:r w:rsidRPr="005E1A88">
        <w:t>Marzena Boroń</w:t>
      </w:r>
    </w:p>
    <w:p w14:paraId="6E313178" w14:textId="77777777" w:rsidR="005E1A88" w:rsidRDefault="005E1A88" w:rsidP="00632A85">
      <w:pPr>
        <w:pStyle w:val="Akapitzlist"/>
        <w:numPr>
          <w:ilvl w:val="0"/>
          <w:numId w:val="4"/>
        </w:numPr>
        <w:jc w:val="both"/>
      </w:pPr>
      <w:r w:rsidRPr="005E1A88">
        <w:t>Analiza ryzyka dotycząca ujęć wody</w:t>
      </w:r>
      <w:r>
        <w:t xml:space="preserve"> </w:t>
      </w:r>
      <w:r w:rsidRPr="005E1A88">
        <w:t>przeznaczonej do spożycia</w:t>
      </w:r>
      <w:r>
        <w:t xml:space="preserve"> - </w:t>
      </w:r>
      <w:r w:rsidRPr="005E1A88">
        <w:t xml:space="preserve">Klara </w:t>
      </w:r>
      <w:proofErr w:type="spellStart"/>
      <w:r w:rsidRPr="005E1A88">
        <w:t>Ramm</w:t>
      </w:r>
      <w:proofErr w:type="spellEnd"/>
    </w:p>
    <w:p w14:paraId="1737DC8B" w14:textId="77777777" w:rsidR="005E1A88" w:rsidRDefault="005E1A88" w:rsidP="00632A85">
      <w:pPr>
        <w:pStyle w:val="Akapitzlist"/>
        <w:numPr>
          <w:ilvl w:val="0"/>
          <w:numId w:val="4"/>
        </w:numPr>
        <w:jc w:val="both"/>
      </w:pPr>
      <w:r w:rsidRPr="005E1A88">
        <w:t>Problemy odbiorców i dostawców usług</w:t>
      </w:r>
      <w:r>
        <w:t xml:space="preserve"> </w:t>
      </w:r>
      <w:r w:rsidRPr="005E1A88">
        <w:t>dostawy wody i odprowadzania ścieków</w:t>
      </w:r>
      <w:r>
        <w:t xml:space="preserve"> - </w:t>
      </w:r>
      <w:r w:rsidRPr="005E1A88">
        <w:t>Bożena Rusinek</w:t>
      </w:r>
    </w:p>
    <w:p w14:paraId="3880CAAB" w14:textId="77777777" w:rsidR="005E1A88" w:rsidRDefault="005E1A88" w:rsidP="00632A85">
      <w:pPr>
        <w:pStyle w:val="Akapitzlist"/>
        <w:numPr>
          <w:ilvl w:val="0"/>
          <w:numId w:val="4"/>
        </w:numPr>
        <w:jc w:val="both"/>
      </w:pPr>
      <w:r w:rsidRPr="005E1A88">
        <w:t>Zmiana aspektów prawnych dotyczących</w:t>
      </w:r>
      <w:r>
        <w:t xml:space="preserve"> </w:t>
      </w:r>
      <w:r w:rsidRPr="005E1A88">
        <w:t>przydomowych oczyszczalni ścieków</w:t>
      </w:r>
      <w:r>
        <w:t xml:space="preserve"> </w:t>
      </w:r>
      <w:r w:rsidRPr="005E1A88">
        <w:t>na przestrzeni ostatnich kilkudziesięciu lat</w:t>
      </w:r>
      <w:r>
        <w:t xml:space="preserve"> - </w:t>
      </w:r>
      <w:r w:rsidRPr="005E1A88">
        <w:t>Aleksandra Urbaniak,</w:t>
      </w:r>
      <w:r>
        <w:t xml:space="preserve"> </w:t>
      </w:r>
      <w:r w:rsidRPr="005E1A88">
        <w:t xml:space="preserve">Dobrochna </w:t>
      </w:r>
      <w:proofErr w:type="spellStart"/>
      <w:r w:rsidRPr="005E1A88">
        <w:t>Ginter</w:t>
      </w:r>
      <w:proofErr w:type="spellEnd"/>
      <w:r w:rsidRPr="005E1A88">
        <w:t>-Kramarczyk,</w:t>
      </w:r>
      <w:r>
        <w:t xml:space="preserve"> </w:t>
      </w:r>
      <w:r w:rsidRPr="005E1A88">
        <w:t>Izabela Kruszelnicka</w:t>
      </w:r>
    </w:p>
    <w:p w14:paraId="3B6298AF" w14:textId="3586B7D9" w:rsidR="005E1A88" w:rsidRPr="005E1A88" w:rsidRDefault="005E1A88" w:rsidP="00632A85">
      <w:pPr>
        <w:pStyle w:val="Akapitzlist"/>
        <w:numPr>
          <w:ilvl w:val="0"/>
          <w:numId w:val="4"/>
        </w:numPr>
        <w:jc w:val="both"/>
      </w:pPr>
      <w:r w:rsidRPr="005E1A88">
        <w:t>Zmiany legislacyjne niezbędne dla poprawy</w:t>
      </w:r>
      <w:r>
        <w:t xml:space="preserve"> </w:t>
      </w:r>
      <w:r w:rsidRPr="005E1A88">
        <w:t>bezpieczeństwa wody do picia i ochrony</w:t>
      </w:r>
      <w:r>
        <w:t xml:space="preserve"> </w:t>
      </w:r>
      <w:r w:rsidRPr="005E1A88">
        <w:t>zdrowia publicznego wynikające z nowej DWD</w:t>
      </w:r>
      <w:r>
        <w:t xml:space="preserve"> </w:t>
      </w:r>
      <w:r w:rsidRPr="005E1A88">
        <w:t>2020/2184. Część I</w:t>
      </w:r>
      <w:r>
        <w:t xml:space="preserve"> - </w:t>
      </w:r>
      <w:r w:rsidRPr="005E1A88">
        <w:t xml:space="preserve">Izabela Zimoch, Barbara </w:t>
      </w:r>
      <w:proofErr w:type="spellStart"/>
      <w:r w:rsidRPr="005E1A88">
        <w:t>Mulik</w:t>
      </w:r>
      <w:proofErr w:type="spellEnd"/>
    </w:p>
    <w:p w14:paraId="508851EE" w14:textId="77777777" w:rsidR="005E1A88" w:rsidRPr="005E1A88" w:rsidRDefault="005E1A88" w:rsidP="00632A85">
      <w:pPr>
        <w:jc w:val="both"/>
      </w:pPr>
      <w:r w:rsidRPr="005E1A88">
        <w:t>Aktualności</w:t>
      </w:r>
    </w:p>
    <w:p w14:paraId="1E4618FC" w14:textId="77777777" w:rsidR="005E1A88" w:rsidRDefault="005E1A88" w:rsidP="00632A85">
      <w:pPr>
        <w:pStyle w:val="Akapitzlist"/>
        <w:numPr>
          <w:ilvl w:val="0"/>
          <w:numId w:val="5"/>
        </w:numPr>
        <w:jc w:val="both"/>
      </w:pPr>
      <w:r w:rsidRPr="005E1A88">
        <w:t>Badania nad gospodarowaniem wodą i ochroną</w:t>
      </w:r>
      <w:r>
        <w:t xml:space="preserve"> </w:t>
      </w:r>
      <w:r w:rsidRPr="005E1A88">
        <w:t>wód Zakładu Gospodarki Wodnej w Warszawie</w:t>
      </w:r>
      <w:r>
        <w:t xml:space="preserve"> </w:t>
      </w:r>
      <w:r w:rsidRPr="005E1A88">
        <w:t>Instytutu Meteorologii i Gospodarki Wodnej na</w:t>
      </w:r>
      <w:r>
        <w:t xml:space="preserve"> </w:t>
      </w:r>
      <w:r w:rsidRPr="005E1A88">
        <w:t>progu XXI wieku. Monografia</w:t>
      </w:r>
    </w:p>
    <w:p w14:paraId="62EBD607" w14:textId="77777777" w:rsidR="005E1A88" w:rsidRDefault="005E1A88" w:rsidP="00632A85">
      <w:pPr>
        <w:pStyle w:val="Akapitzlist"/>
        <w:numPr>
          <w:ilvl w:val="0"/>
          <w:numId w:val="5"/>
        </w:numPr>
        <w:jc w:val="both"/>
      </w:pPr>
      <w:r w:rsidRPr="005E1A88">
        <w:t>Warsztaty Pracy Projektanta i Rzeczoznawcy</w:t>
      </w:r>
      <w:r>
        <w:t xml:space="preserve"> </w:t>
      </w:r>
      <w:r w:rsidRPr="005E1A88">
        <w:t>Instalacji i Sieci Sanitarnych</w:t>
      </w:r>
    </w:p>
    <w:p w14:paraId="114681C7" w14:textId="77777777" w:rsidR="005E1A88" w:rsidRDefault="005E1A88" w:rsidP="00632A85">
      <w:pPr>
        <w:pStyle w:val="Akapitzlist"/>
        <w:numPr>
          <w:ilvl w:val="0"/>
          <w:numId w:val="5"/>
        </w:numPr>
        <w:jc w:val="both"/>
      </w:pPr>
      <w:proofErr w:type="spellStart"/>
      <w:r w:rsidRPr="005E1A88">
        <w:t>Stormwater</w:t>
      </w:r>
      <w:proofErr w:type="spellEnd"/>
      <w:r w:rsidRPr="005E1A88">
        <w:t xml:space="preserve"> Poland 2021</w:t>
      </w:r>
    </w:p>
    <w:p w14:paraId="40B1264C" w14:textId="5884FD5C" w:rsidR="006E380C" w:rsidRDefault="005E1A88" w:rsidP="00632A85">
      <w:pPr>
        <w:pStyle w:val="Akapitzlist"/>
        <w:numPr>
          <w:ilvl w:val="0"/>
          <w:numId w:val="5"/>
        </w:numPr>
        <w:jc w:val="both"/>
      </w:pPr>
      <w:r w:rsidRPr="005E1A88">
        <w:t xml:space="preserve">MEMPEP 2021. 13th </w:t>
      </w:r>
      <w:proofErr w:type="spellStart"/>
      <w:r w:rsidRPr="005E1A88">
        <w:t>Scientific</w:t>
      </w:r>
      <w:proofErr w:type="spellEnd"/>
      <w:r>
        <w:t xml:space="preserve"> </w:t>
      </w:r>
      <w:r w:rsidRPr="005E1A88">
        <w:t xml:space="preserve">Conference – </w:t>
      </w:r>
      <w:proofErr w:type="spellStart"/>
      <w:r w:rsidRPr="005E1A88">
        <w:t>Membranes</w:t>
      </w:r>
      <w:proofErr w:type="spellEnd"/>
      <w:r w:rsidRPr="005E1A88">
        <w:t xml:space="preserve"> and </w:t>
      </w:r>
      <w:proofErr w:type="spellStart"/>
      <w:r w:rsidRPr="005E1A88">
        <w:t>Membrane</w:t>
      </w:r>
      <w:proofErr w:type="spellEnd"/>
      <w:r>
        <w:t xml:space="preserve"> </w:t>
      </w:r>
      <w:proofErr w:type="spellStart"/>
      <w:r w:rsidRPr="005E1A88">
        <w:t>Processes</w:t>
      </w:r>
      <w:proofErr w:type="spellEnd"/>
      <w:r w:rsidRPr="005E1A88">
        <w:t xml:space="preserve"> in </w:t>
      </w:r>
      <w:proofErr w:type="spellStart"/>
      <w:r w:rsidRPr="005E1A88">
        <w:t>Environmental</w:t>
      </w:r>
      <w:proofErr w:type="spellEnd"/>
      <w:r w:rsidRPr="005E1A88">
        <w:t xml:space="preserve"> </w:t>
      </w:r>
      <w:proofErr w:type="spellStart"/>
      <w:r w:rsidRPr="005E1A88">
        <w:t>Protection</w:t>
      </w:r>
      <w:proofErr w:type="spellEnd"/>
      <w:r w:rsidRPr="005E1A88">
        <w:t xml:space="preserve"> –</w:t>
      </w:r>
      <w:r>
        <w:t xml:space="preserve"> </w:t>
      </w:r>
      <w:r w:rsidRPr="005E1A88">
        <w:t>10-11 czerwca 2021 r., online</w:t>
      </w:r>
    </w:p>
    <w:p w14:paraId="00F8896B" w14:textId="22E30EDF" w:rsidR="005E1A88" w:rsidRDefault="005E1A88" w:rsidP="00632A85">
      <w:pPr>
        <w:jc w:val="both"/>
      </w:pPr>
    </w:p>
    <w:p w14:paraId="7BBE45F1" w14:textId="77777777" w:rsidR="005E1A88" w:rsidRDefault="005E1A88" w:rsidP="00632A85">
      <w:pPr>
        <w:jc w:val="both"/>
      </w:pPr>
    </w:p>
    <w:p w14:paraId="141DFEA2" w14:textId="77777777" w:rsidR="005E1A88" w:rsidRPr="005E1A88" w:rsidRDefault="005E1A88" w:rsidP="00632A85">
      <w:pPr>
        <w:pStyle w:val="Pa15"/>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t xml:space="preserve">Drodzy Czytelnicy! </w:t>
      </w:r>
    </w:p>
    <w:p w14:paraId="5DBE3A42" w14:textId="22338C81" w:rsidR="005E1A88" w:rsidRPr="005E1A88" w:rsidRDefault="005E1A88" w:rsidP="00632A85">
      <w:pPr>
        <w:pStyle w:val="Pa15"/>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lastRenderedPageBreak/>
        <w:t xml:space="preserve">Mija 12 lat od ukazania się pierwszego numeru Technologii Wody. Wszystkim Czytelnikom, Autorom, a także Członkom Rady Programowej z tej okazji chcielibyśmy serdecznie podziękować za to, że byliście z nami i wspieraliście nas przez wszystkie te lata. </w:t>
      </w:r>
    </w:p>
    <w:p w14:paraId="65CDD2A9" w14:textId="2EFBD43B" w:rsidR="005E1A88" w:rsidRPr="005E1A88" w:rsidRDefault="005E1A88" w:rsidP="00632A85">
      <w:pPr>
        <w:pStyle w:val="Pa16"/>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t xml:space="preserve">W niniejszym numerze, już siedemdziesiątym siódmym, jak zwykle zebraliśmy szereg interesujących artykułów. Ponieważ zbliża się termin wdrożenia nowej dyrektywy dotyczącej jakości wody do picia to właśnie temu tematowi poświęcona jest praca I. Zimoch i B. </w:t>
      </w:r>
      <w:proofErr w:type="spellStart"/>
      <w:r w:rsidRPr="005E1A88">
        <w:rPr>
          <w:rStyle w:val="A5"/>
          <w:rFonts w:asciiTheme="minorHAnsi" w:hAnsiTheme="minorHAnsi" w:cstheme="minorHAnsi"/>
          <w:sz w:val="22"/>
          <w:szCs w:val="22"/>
        </w:rPr>
        <w:t>Mulik</w:t>
      </w:r>
      <w:proofErr w:type="spellEnd"/>
      <w:r w:rsidRPr="005E1A88">
        <w:rPr>
          <w:rStyle w:val="A5"/>
          <w:rFonts w:asciiTheme="minorHAnsi" w:hAnsiTheme="minorHAnsi" w:cstheme="minorHAnsi"/>
          <w:sz w:val="22"/>
          <w:szCs w:val="22"/>
        </w:rPr>
        <w:t xml:space="preserve"> o związanych z Dyrektywą zmianach prawa (s. 74). </w:t>
      </w:r>
    </w:p>
    <w:p w14:paraId="241791AF" w14:textId="335540E2" w:rsidR="005E1A88" w:rsidRPr="005E1A88" w:rsidRDefault="005E1A88" w:rsidP="00632A85">
      <w:pPr>
        <w:pStyle w:val="Pa16"/>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t xml:space="preserve">W kolejnym artykule I. </w:t>
      </w:r>
      <w:proofErr w:type="spellStart"/>
      <w:r w:rsidRPr="005E1A88">
        <w:rPr>
          <w:rStyle w:val="A5"/>
          <w:rFonts w:asciiTheme="minorHAnsi" w:hAnsiTheme="minorHAnsi" w:cstheme="minorHAnsi"/>
          <w:sz w:val="22"/>
          <w:szCs w:val="22"/>
        </w:rPr>
        <w:t>Gomuła</w:t>
      </w:r>
      <w:proofErr w:type="spellEnd"/>
      <w:r w:rsidRPr="005E1A88">
        <w:rPr>
          <w:rStyle w:val="A5"/>
          <w:rFonts w:asciiTheme="minorHAnsi" w:hAnsiTheme="minorHAnsi" w:cstheme="minorHAnsi"/>
          <w:sz w:val="22"/>
          <w:szCs w:val="22"/>
        </w:rPr>
        <w:t xml:space="preserve">-Lasocka oraz Ł. Weber piszą o Planach Bezpieczeństwa Wody (s. 22), a K. </w:t>
      </w:r>
      <w:proofErr w:type="spellStart"/>
      <w:r w:rsidRPr="005E1A88">
        <w:rPr>
          <w:rStyle w:val="A5"/>
          <w:rFonts w:asciiTheme="minorHAnsi" w:hAnsiTheme="minorHAnsi" w:cstheme="minorHAnsi"/>
          <w:sz w:val="22"/>
          <w:szCs w:val="22"/>
        </w:rPr>
        <w:t>Ramm</w:t>
      </w:r>
      <w:proofErr w:type="spellEnd"/>
      <w:r w:rsidRPr="005E1A88">
        <w:rPr>
          <w:rStyle w:val="A5"/>
          <w:rFonts w:asciiTheme="minorHAnsi" w:hAnsiTheme="minorHAnsi" w:cstheme="minorHAnsi"/>
          <w:sz w:val="22"/>
          <w:szCs w:val="22"/>
        </w:rPr>
        <w:t xml:space="preserve"> przybliża nam problemy prawno-organizacyjne związane z analizą ryzyka w strefach ochronnych ujęć wody (s. 54). M. </w:t>
      </w:r>
      <w:proofErr w:type="spellStart"/>
      <w:r w:rsidRPr="005E1A88">
        <w:rPr>
          <w:rStyle w:val="A5"/>
          <w:rFonts w:asciiTheme="minorHAnsi" w:hAnsiTheme="minorHAnsi" w:cstheme="minorHAnsi"/>
          <w:sz w:val="22"/>
          <w:szCs w:val="22"/>
        </w:rPr>
        <w:t>Ciślak</w:t>
      </w:r>
      <w:proofErr w:type="spellEnd"/>
      <w:r w:rsidRPr="005E1A88">
        <w:rPr>
          <w:rStyle w:val="A5"/>
          <w:rFonts w:asciiTheme="minorHAnsi" w:hAnsiTheme="minorHAnsi" w:cstheme="minorHAnsi"/>
          <w:sz w:val="22"/>
          <w:szCs w:val="22"/>
        </w:rPr>
        <w:t xml:space="preserve"> i M. </w:t>
      </w:r>
      <w:proofErr w:type="spellStart"/>
      <w:r w:rsidRPr="005E1A88">
        <w:rPr>
          <w:rStyle w:val="A5"/>
          <w:rFonts w:asciiTheme="minorHAnsi" w:hAnsiTheme="minorHAnsi" w:cstheme="minorHAnsi"/>
          <w:sz w:val="22"/>
          <w:szCs w:val="22"/>
        </w:rPr>
        <w:t>Michałkiewicz</w:t>
      </w:r>
      <w:proofErr w:type="spellEnd"/>
      <w:r w:rsidRPr="005E1A88">
        <w:rPr>
          <w:rStyle w:val="A5"/>
          <w:rFonts w:asciiTheme="minorHAnsi" w:hAnsiTheme="minorHAnsi" w:cstheme="minorHAnsi"/>
          <w:sz w:val="22"/>
          <w:szCs w:val="22"/>
        </w:rPr>
        <w:t xml:space="preserve"> przypominają, z kolei, o problemie jakości wody w studniach kopanych, z których wciąż korzysta ponad 2 mln Polaków (s. 4). Uzupełnienie problematyki jakości wody stanowi wyczerpująca analiza pracownic NIZP-PZH, omawiająca aktualny stan wiedzy na temat skutków zdrowotnych azotanów zawartych w wodzie do picia. </w:t>
      </w:r>
    </w:p>
    <w:p w14:paraId="373CBCD1" w14:textId="02448346" w:rsidR="005E1A88" w:rsidRPr="005E1A88" w:rsidRDefault="005E1A88" w:rsidP="00632A85">
      <w:pPr>
        <w:pStyle w:val="Pa16"/>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t xml:space="preserve">Marzena Boroń, hydrogeolog z MPWiK w Bydgoszczy w artykule pt. Ekonomiczne aspekty renowacji i remontów studni wodociągowych (s. 46) pokazuje, na przykładzie swojej i zaprzyjaźnionych firm, jak rosnące ceny energii elektrycznej zmuszają przedsiębiorstwa wodociągowe do obniżania energochłonności procesów produkcyjnych. </w:t>
      </w:r>
    </w:p>
    <w:p w14:paraId="30247A63" w14:textId="196CD65F" w:rsidR="005E1A88" w:rsidRPr="005E1A88" w:rsidRDefault="005E1A88" w:rsidP="00632A85">
      <w:pPr>
        <w:pStyle w:val="Pa16"/>
        <w:jc w:val="both"/>
        <w:rPr>
          <w:rFonts w:asciiTheme="minorHAnsi" w:hAnsiTheme="minorHAnsi" w:cstheme="minorHAnsi"/>
          <w:color w:val="000000"/>
          <w:sz w:val="22"/>
          <w:szCs w:val="22"/>
        </w:rPr>
      </w:pPr>
      <w:r w:rsidRPr="005E1A88">
        <w:rPr>
          <w:rStyle w:val="A5"/>
          <w:rFonts w:asciiTheme="minorHAnsi" w:hAnsiTheme="minorHAnsi" w:cstheme="minorHAnsi"/>
          <w:sz w:val="22"/>
          <w:szCs w:val="22"/>
        </w:rPr>
        <w:t xml:space="preserve">Nie sposób streścić całej zawartości tego wydania. Mamy nadzieję, że każdy z Was znajdzie w nim coś interesującego. Życzymy udanej lektury! </w:t>
      </w:r>
    </w:p>
    <w:p w14:paraId="4FE96848" w14:textId="0278075A" w:rsidR="005E1A88" w:rsidRPr="005E1A88" w:rsidRDefault="005E1A88" w:rsidP="00632A85">
      <w:pPr>
        <w:jc w:val="both"/>
        <w:rPr>
          <w:rFonts w:cstheme="minorHAnsi"/>
        </w:rPr>
      </w:pPr>
      <w:r w:rsidRPr="005E1A88">
        <w:rPr>
          <w:rStyle w:val="A5"/>
          <w:rFonts w:cstheme="minorHAnsi"/>
          <w:sz w:val="22"/>
          <w:szCs w:val="22"/>
        </w:rPr>
        <w:t>Magdalena Seidel-</w:t>
      </w:r>
      <w:proofErr w:type="spellStart"/>
      <w:r w:rsidRPr="005E1A88">
        <w:rPr>
          <w:rStyle w:val="A5"/>
          <w:rFonts w:cstheme="minorHAnsi"/>
          <w:sz w:val="22"/>
          <w:szCs w:val="22"/>
        </w:rPr>
        <w:t>Przywecka</w:t>
      </w:r>
      <w:proofErr w:type="spellEnd"/>
      <w:r w:rsidRPr="005E1A88">
        <w:rPr>
          <w:rStyle w:val="A5"/>
          <w:rFonts w:cstheme="minorHAnsi"/>
          <w:sz w:val="22"/>
          <w:szCs w:val="22"/>
        </w:rPr>
        <w:t xml:space="preserve"> wraz z zespołem redakcyjnym</w:t>
      </w:r>
    </w:p>
    <w:sectPr w:rsidR="005E1A88" w:rsidRPr="005E1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1ECD"/>
    <w:multiLevelType w:val="hybridMultilevel"/>
    <w:tmpl w:val="A97C9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E47AB2"/>
    <w:multiLevelType w:val="hybridMultilevel"/>
    <w:tmpl w:val="B27A7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1123F30"/>
    <w:multiLevelType w:val="hybridMultilevel"/>
    <w:tmpl w:val="BEF2F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CA4FEB"/>
    <w:multiLevelType w:val="hybridMultilevel"/>
    <w:tmpl w:val="55484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65410B"/>
    <w:multiLevelType w:val="hybridMultilevel"/>
    <w:tmpl w:val="0ECE6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88"/>
    <w:rsid w:val="002D4A55"/>
    <w:rsid w:val="004F6277"/>
    <w:rsid w:val="005E1A88"/>
    <w:rsid w:val="00632A85"/>
    <w:rsid w:val="006E3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AAEF"/>
  <w15:chartTrackingRefBased/>
  <w15:docId w15:val="{339D0FF3-F904-4453-ADF1-1BBB9757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1A88"/>
    <w:pPr>
      <w:ind w:left="720"/>
      <w:contextualSpacing/>
    </w:pPr>
  </w:style>
  <w:style w:type="paragraph" w:customStyle="1" w:styleId="Pa15">
    <w:name w:val="Pa15"/>
    <w:basedOn w:val="Normalny"/>
    <w:next w:val="Normalny"/>
    <w:uiPriority w:val="99"/>
    <w:rsid w:val="005E1A88"/>
    <w:pPr>
      <w:autoSpaceDE w:val="0"/>
      <w:autoSpaceDN w:val="0"/>
      <w:adjustRightInd w:val="0"/>
      <w:spacing w:after="0" w:line="201" w:lineRule="atLeast"/>
    </w:pPr>
    <w:rPr>
      <w:rFonts w:ascii="Georgia" w:hAnsi="Georgia"/>
      <w:sz w:val="24"/>
      <w:szCs w:val="24"/>
    </w:rPr>
  </w:style>
  <w:style w:type="character" w:customStyle="1" w:styleId="A5">
    <w:name w:val="A5"/>
    <w:uiPriority w:val="99"/>
    <w:rsid w:val="005E1A88"/>
    <w:rPr>
      <w:rFonts w:cs="Georgia"/>
      <w:i/>
      <w:iCs/>
      <w:color w:val="000000"/>
      <w:sz w:val="16"/>
      <w:szCs w:val="16"/>
    </w:rPr>
  </w:style>
  <w:style w:type="paragraph" w:customStyle="1" w:styleId="Pa16">
    <w:name w:val="Pa16"/>
    <w:basedOn w:val="Normalny"/>
    <w:next w:val="Normalny"/>
    <w:uiPriority w:val="99"/>
    <w:rsid w:val="005E1A88"/>
    <w:pPr>
      <w:autoSpaceDE w:val="0"/>
      <w:autoSpaceDN w:val="0"/>
      <w:adjustRightInd w:val="0"/>
      <w:spacing w:after="0" w:line="201" w:lineRule="atLeast"/>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542</Words>
  <Characters>3252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LIDKA</dc:creator>
  <cp:keywords/>
  <dc:description/>
  <cp:lastModifiedBy>LIDKA</cp:lastModifiedBy>
  <cp:revision>3</cp:revision>
  <dcterms:created xsi:type="dcterms:W3CDTF">2021-08-30T09:49:00Z</dcterms:created>
  <dcterms:modified xsi:type="dcterms:W3CDTF">2021-08-30T13:58:00Z</dcterms:modified>
</cp:coreProperties>
</file>